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14460043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E671F2" w:rsidRPr="00400518" w:rsidRDefault="00E671F2" w:rsidP="00E671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0518">
        <w:rPr>
          <w:sz w:val="28"/>
          <w:szCs w:val="28"/>
        </w:rPr>
        <w:t>рамках проводимой Тарифной политики</w:t>
      </w:r>
      <w:r>
        <w:rPr>
          <w:sz w:val="28"/>
          <w:szCs w:val="28"/>
        </w:rPr>
        <w:t xml:space="preserve"> </w:t>
      </w:r>
      <w:r w:rsidRPr="00400518">
        <w:rPr>
          <w:sz w:val="28"/>
          <w:szCs w:val="28"/>
        </w:rPr>
        <w:t>ЗАО «ЮКЖД» на 2022 фрахтовый год:</w:t>
      </w:r>
    </w:p>
    <w:p w:rsidR="00E671F2" w:rsidRPr="00400518" w:rsidRDefault="00CE0681" w:rsidP="00E671F2">
      <w:pPr>
        <w:pStyle w:val="a6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B1192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1B119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B119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B1192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1B1192">
        <w:rPr>
          <w:sz w:val="28"/>
          <w:szCs w:val="28"/>
        </w:rPr>
        <w:t>г. по 30.06.2022</w:t>
      </w:r>
      <w:r>
        <w:rPr>
          <w:sz w:val="28"/>
          <w:szCs w:val="28"/>
        </w:rPr>
        <w:t xml:space="preserve"> </w:t>
      </w:r>
      <w:r w:rsidR="00E671F2" w:rsidRPr="00400518">
        <w:rPr>
          <w:sz w:val="28"/>
          <w:szCs w:val="28"/>
        </w:rPr>
        <w:t>г. при расчете провозной платы за перевозки грузов, в зависимости от дальности перевозок, будут применяться коэффициенты, указанные в Таблице1</w:t>
      </w:r>
      <w:r w:rsidR="00E671F2" w:rsidRPr="00400518">
        <w:rPr>
          <w:sz w:val="28"/>
          <w:szCs w:val="28"/>
          <w:lang w:val="hy-AM"/>
        </w:rPr>
        <w:t>:</w:t>
      </w:r>
    </w:p>
    <w:p w:rsidR="00E671F2" w:rsidRPr="006E6CD6" w:rsidRDefault="00E671F2" w:rsidP="00E671F2">
      <w:pPr>
        <w:pStyle w:val="a6"/>
        <w:spacing w:after="0" w:line="360" w:lineRule="exact"/>
        <w:ind w:left="284" w:firstLine="425"/>
        <w:rPr>
          <w:sz w:val="28"/>
          <w:szCs w:val="28"/>
        </w:rPr>
      </w:pPr>
      <w:r w:rsidRPr="006E6CD6">
        <w:rPr>
          <w:sz w:val="28"/>
          <w:szCs w:val="28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451"/>
        <w:gridCol w:w="1847"/>
      </w:tblGrid>
      <w:tr w:rsidR="00E671F2" w:rsidRPr="00400518" w:rsidTr="00E671F2">
        <w:trPr>
          <w:trHeight w:val="576"/>
          <w:jc w:val="center"/>
        </w:trPr>
        <w:tc>
          <w:tcPr>
            <w:tcW w:w="6624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Тип подвижного состава</w:t>
            </w: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Пояс дальности</w:t>
            </w:r>
          </w:p>
        </w:tc>
        <w:tc>
          <w:tcPr>
            <w:tcW w:w="1847" w:type="dxa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proofErr w:type="spellStart"/>
            <w:r w:rsidRPr="00400518">
              <w:t>Kоэффициент</w:t>
            </w:r>
            <w:proofErr w:type="spellEnd"/>
          </w:p>
        </w:tc>
      </w:tr>
      <w:tr w:rsidR="00E671F2" w:rsidRPr="00400518" w:rsidTr="00E671F2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E671F2" w:rsidRPr="00400518" w:rsidRDefault="00E671F2" w:rsidP="00E671F2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</w:rPr>
            </w:pPr>
            <w:r w:rsidRPr="00400518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0518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0518">
              <w:rPr>
                <w:sz w:val="22"/>
                <w:szCs w:val="22"/>
                <w:lang w:val="ru-RU"/>
              </w:rPr>
              <w:t xml:space="preserve">. состава, ставки тарифа которого указаны в прил. </w:t>
            </w:r>
            <w:r w:rsidRPr="00400518">
              <w:rPr>
                <w:sz w:val="22"/>
                <w:szCs w:val="22"/>
              </w:rPr>
              <w:t xml:space="preserve">2-3 ТП ЗАО «ЮКЖД», а </w:t>
            </w:r>
            <w:proofErr w:type="spellStart"/>
            <w:r w:rsidRPr="00400518">
              <w:rPr>
                <w:sz w:val="22"/>
                <w:szCs w:val="22"/>
              </w:rPr>
              <w:t>также</w:t>
            </w:r>
            <w:proofErr w:type="spellEnd"/>
            <w:r w:rsidRPr="00400518">
              <w:rPr>
                <w:sz w:val="22"/>
                <w:szCs w:val="22"/>
              </w:rPr>
              <w:t xml:space="preserve"> </w:t>
            </w:r>
            <w:proofErr w:type="spellStart"/>
            <w:r w:rsidRPr="00400518">
              <w:rPr>
                <w:sz w:val="22"/>
                <w:szCs w:val="22"/>
              </w:rPr>
              <w:t>тягового</w:t>
            </w:r>
            <w:proofErr w:type="spellEnd"/>
            <w:r w:rsidRPr="00400518">
              <w:rPr>
                <w:sz w:val="22"/>
                <w:szCs w:val="22"/>
              </w:rPr>
              <w:t xml:space="preserve"> </w:t>
            </w:r>
            <w:proofErr w:type="spellStart"/>
            <w:r w:rsidRPr="00400518">
              <w:rPr>
                <w:sz w:val="22"/>
                <w:szCs w:val="22"/>
              </w:rPr>
              <w:t>подвижного</w:t>
            </w:r>
            <w:proofErr w:type="spellEnd"/>
            <w:r w:rsidRPr="00400518">
              <w:rPr>
                <w:sz w:val="22"/>
                <w:szCs w:val="22"/>
              </w:rPr>
              <w:t xml:space="preserve"> </w:t>
            </w:r>
            <w:proofErr w:type="spellStart"/>
            <w:r w:rsidRPr="00400518">
              <w:rPr>
                <w:sz w:val="22"/>
                <w:szCs w:val="22"/>
              </w:rPr>
              <w:t>состава</w:t>
            </w:r>
            <w:proofErr w:type="spellEnd"/>
            <w:r w:rsidRPr="00400518">
              <w:rPr>
                <w:sz w:val="22"/>
                <w:szCs w:val="22"/>
              </w:rPr>
              <w:t>)</w:t>
            </w: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до 250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400518">
              <w:rPr>
                <w:color w:val="000000"/>
              </w:rPr>
              <w:t>0,94</w:t>
            </w:r>
          </w:p>
        </w:tc>
      </w:tr>
      <w:tr w:rsidR="00E671F2" w:rsidRPr="00400518" w:rsidTr="00E671F2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с 251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400518">
              <w:rPr>
                <w:color w:val="000000"/>
              </w:rPr>
              <w:t>1,00</w:t>
            </w:r>
          </w:p>
        </w:tc>
      </w:tr>
      <w:tr w:rsidR="00E671F2" w:rsidRPr="00400518" w:rsidTr="00E671F2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E671F2" w:rsidRPr="00400518" w:rsidRDefault="00E671F2" w:rsidP="00E671F2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proofErr w:type="spellStart"/>
            <w:r w:rsidRPr="00400518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400518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до 250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291004">
              <w:rPr>
                <w:color w:val="000000"/>
              </w:rPr>
              <w:t>0,783</w:t>
            </w:r>
          </w:p>
        </w:tc>
      </w:tr>
      <w:tr w:rsidR="00E671F2" w:rsidRPr="00400518" w:rsidTr="00E671F2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с 251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291004">
              <w:rPr>
                <w:color w:val="000000"/>
              </w:rPr>
              <w:t>0,838</w:t>
            </w:r>
          </w:p>
        </w:tc>
      </w:tr>
    </w:tbl>
    <w:p w:rsidR="00E671F2" w:rsidRPr="00400518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0518">
        <w:rPr>
          <w:sz w:val="28"/>
          <w:szCs w:val="28"/>
        </w:rPr>
        <w:t xml:space="preserve">При расчете провозной платы за перевозки грузов в вагонах в международном сообщении через </w:t>
      </w:r>
      <w:proofErr w:type="spellStart"/>
      <w:r w:rsidRPr="00400518">
        <w:rPr>
          <w:sz w:val="28"/>
          <w:szCs w:val="28"/>
        </w:rPr>
        <w:t>погранпереход</w:t>
      </w:r>
      <w:proofErr w:type="spellEnd"/>
      <w:r w:rsidRPr="00400518">
        <w:rPr>
          <w:sz w:val="28"/>
          <w:szCs w:val="28"/>
        </w:rPr>
        <w:t xml:space="preserve"> </w:t>
      </w:r>
      <w:proofErr w:type="spellStart"/>
      <w:r w:rsidRPr="00400518">
        <w:rPr>
          <w:sz w:val="28"/>
          <w:szCs w:val="28"/>
        </w:rPr>
        <w:t>Айрум</w:t>
      </w:r>
      <w:proofErr w:type="spellEnd"/>
      <w:r w:rsidRPr="00400518">
        <w:rPr>
          <w:sz w:val="28"/>
          <w:szCs w:val="28"/>
        </w:rPr>
        <w:t xml:space="preserve"> </w:t>
      </w:r>
      <w:proofErr w:type="spellStart"/>
      <w:r w:rsidRPr="00400518">
        <w:rPr>
          <w:sz w:val="28"/>
          <w:szCs w:val="28"/>
        </w:rPr>
        <w:t>эксп</w:t>
      </w:r>
      <w:proofErr w:type="spellEnd"/>
      <w:r w:rsidRPr="00400518">
        <w:rPr>
          <w:sz w:val="28"/>
          <w:szCs w:val="28"/>
        </w:rPr>
        <w:t xml:space="preserve">. (код станции 569706), дополнительно будут применяться коэффициенты, указанные в таблице 2: </w:t>
      </w:r>
    </w:p>
    <w:p w:rsidR="00E671F2" w:rsidRPr="006E6CD6" w:rsidRDefault="00E671F2" w:rsidP="00E671F2">
      <w:pPr>
        <w:pStyle w:val="a6"/>
        <w:spacing w:after="0" w:line="320" w:lineRule="exact"/>
        <w:ind w:left="284" w:firstLine="425"/>
        <w:rPr>
          <w:sz w:val="28"/>
          <w:szCs w:val="28"/>
        </w:rPr>
      </w:pPr>
      <w:r w:rsidRPr="006E6CD6">
        <w:rPr>
          <w:sz w:val="28"/>
          <w:szCs w:val="28"/>
        </w:rPr>
        <w:t>Таблица 2.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504"/>
        <w:gridCol w:w="1765"/>
      </w:tblGrid>
      <w:tr w:rsidR="00E671F2" w:rsidRPr="00400518" w:rsidTr="00E671F2">
        <w:trPr>
          <w:trHeight w:val="177"/>
        </w:trPr>
        <w:tc>
          <w:tcPr>
            <w:tcW w:w="225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  <w:proofErr w:type="spellStart"/>
            <w:r w:rsidRPr="00400518">
              <w:t>Вид</w:t>
            </w:r>
            <w:proofErr w:type="spellEnd"/>
            <w:r w:rsidRPr="00400518">
              <w:t xml:space="preserve"> </w:t>
            </w:r>
            <w:proofErr w:type="spellStart"/>
            <w:r w:rsidRPr="00400518">
              <w:t>сообщения</w:t>
            </w:r>
            <w:proofErr w:type="spellEnd"/>
            <w:r w:rsidRPr="00400518"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</w:pPr>
            <w:proofErr w:type="spellStart"/>
            <w:r w:rsidRPr="00400518">
              <w:t>Пояс</w:t>
            </w:r>
            <w:proofErr w:type="spellEnd"/>
            <w:r w:rsidRPr="00400518">
              <w:t xml:space="preserve"> </w:t>
            </w:r>
            <w:proofErr w:type="spellStart"/>
            <w:r w:rsidRPr="00400518">
              <w:t>дальности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</w:pPr>
            <w:proofErr w:type="spellStart"/>
            <w:r w:rsidRPr="00400518">
              <w:t>Коэффициент</w:t>
            </w:r>
            <w:proofErr w:type="spellEnd"/>
          </w:p>
        </w:tc>
      </w:tr>
      <w:tr w:rsidR="00E671F2" w:rsidRPr="00400518" w:rsidTr="00E671F2">
        <w:trPr>
          <w:trHeight w:val="255"/>
        </w:trPr>
        <w:tc>
          <w:tcPr>
            <w:tcW w:w="2254" w:type="dxa"/>
            <w:vMerge w:val="restart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</w:pPr>
            <w:proofErr w:type="spellStart"/>
            <w:r w:rsidRPr="00400518">
              <w:t>Экспорт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proofErr w:type="spellStart"/>
            <w:r w:rsidRPr="00400518">
              <w:t>до</w:t>
            </w:r>
            <w:proofErr w:type="spellEnd"/>
            <w:r w:rsidRPr="00400518">
              <w:t xml:space="preserve"> 250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  <w:r w:rsidRPr="00400518">
              <w:rPr>
                <w:color w:val="000000"/>
              </w:rPr>
              <w:t>0</w:t>
            </w:r>
          </w:p>
        </w:tc>
      </w:tr>
      <w:tr w:rsidR="00E671F2" w:rsidRPr="00400518" w:rsidTr="00E671F2">
        <w:trPr>
          <w:trHeight w:val="269"/>
        </w:trPr>
        <w:tc>
          <w:tcPr>
            <w:tcW w:w="2254" w:type="dxa"/>
            <w:vMerge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r w:rsidRPr="00400518">
              <w:t xml:space="preserve">с 251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  <w:r w:rsidRPr="00400518">
              <w:rPr>
                <w:color w:val="000000"/>
              </w:rPr>
              <w:t>0</w:t>
            </w:r>
          </w:p>
        </w:tc>
      </w:tr>
      <w:tr w:rsidR="00E671F2" w:rsidRPr="00400518" w:rsidTr="00E671F2">
        <w:trPr>
          <w:trHeight w:val="255"/>
        </w:trPr>
        <w:tc>
          <w:tcPr>
            <w:tcW w:w="2254" w:type="dxa"/>
            <w:vMerge w:val="restart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  <w:proofErr w:type="spellStart"/>
            <w:r w:rsidRPr="00400518">
              <w:t>Импорт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proofErr w:type="spellStart"/>
            <w:r w:rsidRPr="00400518">
              <w:t>до</w:t>
            </w:r>
            <w:proofErr w:type="spellEnd"/>
            <w:r w:rsidRPr="00400518">
              <w:t xml:space="preserve"> 250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CE0681">
            <w:pPr>
              <w:pStyle w:val="a8"/>
              <w:ind w:left="0"/>
              <w:jc w:val="center"/>
              <w:rPr>
                <w:color w:val="000000"/>
              </w:rPr>
            </w:pPr>
            <w:r w:rsidRPr="00400518">
              <w:rPr>
                <w:color w:val="000000"/>
              </w:rPr>
              <w:t>0,9</w:t>
            </w:r>
            <w:r w:rsidR="00CE0681">
              <w:rPr>
                <w:color w:val="000000"/>
                <w:lang w:val="ru-RU"/>
              </w:rPr>
              <w:t>8</w:t>
            </w:r>
            <w:r w:rsidRPr="00400518">
              <w:rPr>
                <w:color w:val="000000"/>
              </w:rPr>
              <w:t>0</w:t>
            </w:r>
          </w:p>
        </w:tc>
      </w:tr>
      <w:tr w:rsidR="00E671F2" w:rsidRPr="00400518" w:rsidTr="00E671F2">
        <w:trPr>
          <w:trHeight w:val="269"/>
        </w:trPr>
        <w:tc>
          <w:tcPr>
            <w:tcW w:w="2254" w:type="dxa"/>
            <w:vMerge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r w:rsidRPr="00400518">
              <w:t xml:space="preserve">с 251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CE0681">
            <w:pPr>
              <w:pStyle w:val="a8"/>
              <w:ind w:left="0"/>
              <w:jc w:val="center"/>
              <w:rPr>
                <w:color w:val="000000"/>
              </w:rPr>
            </w:pPr>
            <w:r w:rsidRPr="00400518">
              <w:rPr>
                <w:color w:val="000000"/>
              </w:rPr>
              <w:t>0,9</w:t>
            </w:r>
            <w:r w:rsidR="00CE0681">
              <w:rPr>
                <w:color w:val="000000"/>
                <w:lang w:val="ru-RU"/>
              </w:rPr>
              <w:t>9</w:t>
            </w:r>
            <w:r w:rsidRPr="00400518">
              <w:rPr>
                <w:color w:val="000000"/>
              </w:rPr>
              <w:t>0</w:t>
            </w:r>
          </w:p>
        </w:tc>
      </w:tr>
    </w:tbl>
    <w:p w:rsidR="00E671F2" w:rsidRPr="00400518" w:rsidRDefault="00E671F2" w:rsidP="00E671F2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E671F2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0518">
        <w:rPr>
          <w:sz w:val="28"/>
          <w:szCs w:val="28"/>
        </w:rPr>
        <w:t>При расчете провозной платы за перевозки груженых вагонов, отправляемых со станций ЗАО «ЮКЖД» назначением на станции                    ЗАО «ЮКЖД», дополнительно к Таблице 1 будет применяться коэффициент 0,5</w:t>
      </w:r>
      <w:r>
        <w:rPr>
          <w:sz w:val="28"/>
          <w:szCs w:val="28"/>
        </w:rPr>
        <w:t>1</w:t>
      </w:r>
      <w:r w:rsidRPr="00400518">
        <w:rPr>
          <w:sz w:val="28"/>
          <w:szCs w:val="28"/>
        </w:rPr>
        <w:t xml:space="preserve"> (кроме расчета провозной платы грузов, указанных в пункте 2.5 ТП ЗАО «ЮКЖД» на 2022 год и нефтеналивных грузов).</w:t>
      </w:r>
    </w:p>
    <w:p w:rsidR="00E671F2" w:rsidRDefault="00E671F2" w:rsidP="00E671F2">
      <w:pPr>
        <w:pStyle w:val="a6"/>
        <w:spacing w:line="360" w:lineRule="exact"/>
        <w:jc w:val="both"/>
        <w:rPr>
          <w:sz w:val="28"/>
          <w:szCs w:val="28"/>
        </w:rPr>
      </w:pPr>
    </w:p>
    <w:p w:rsidR="00E671F2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0518">
        <w:rPr>
          <w:sz w:val="28"/>
          <w:szCs w:val="28"/>
        </w:rPr>
        <w:lastRenderedPageBreak/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 пункт 1.15.10 «Тарифной политики ЗАО «ЮКЖД» на перевозки грузов железнодорожным транспортом на 2022 фрахтовый год» не буд</w:t>
      </w:r>
      <w:r>
        <w:rPr>
          <w:sz w:val="28"/>
          <w:szCs w:val="28"/>
        </w:rPr>
        <w:t>е</w:t>
      </w:r>
      <w:r w:rsidRPr="00400518">
        <w:rPr>
          <w:sz w:val="28"/>
          <w:szCs w:val="28"/>
        </w:rPr>
        <w:t>т применяться.</w:t>
      </w:r>
    </w:p>
    <w:p w:rsidR="00E671F2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EB21B7">
        <w:rPr>
          <w:sz w:val="28"/>
          <w:szCs w:val="28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 дополнительно к Таблицам 1 и 2 буд</w:t>
      </w:r>
      <w:r>
        <w:rPr>
          <w:sz w:val="28"/>
          <w:szCs w:val="28"/>
        </w:rPr>
        <w:t>е</w:t>
      </w:r>
      <w:r w:rsidRPr="00EB21B7">
        <w:rPr>
          <w:sz w:val="28"/>
          <w:szCs w:val="28"/>
        </w:rPr>
        <w:t>т применяться коэффициент 0,8.</w:t>
      </w:r>
    </w:p>
    <w:p w:rsidR="00023D97" w:rsidRPr="005E27ED" w:rsidRDefault="00023D97" w:rsidP="00023D97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E671F2" w:rsidRPr="00A43B94" w:rsidRDefault="00E671F2" w:rsidP="00E671F2">
      <w:pPr>
        <w:ind w:left="-284" w:firstLine="708"/>
        <w:jc w:val="both"/>
        <w:rPr>
          <w:sz w:val="28"/>
          <w:szCs w:val="28"/>
          <w:lang w:val="hy-AM"/>
        </w:rPr>
      </w:pPr>
      <w:r w:rsidRPr="00023D97">
        <w:rPr>
          <w:sz w:val="28"/>
          <w:szCs w:val="28"/>
          <w:lang w:val="hy-AM"/>
        </w:rPr>
        <w:t>2022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շրջանակում՝</w:t>
      </w:r>
    </w:p>
    <w:p w:rsidR="00E671F2" w:rsidRPr="00C80899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</w:t>
      </w:r>
      <w:r w:rsidR="00CE0681">
        <w:rPr>
          <w:rFonts w:ascii="Sylfaen" w:hAnsi="Sylfaen"/>
          <w:sz w:val="28"/>
          <w:szCs w:val="28"/>
          <w:lang w:val="hy-AM"/>
        </w:rPr>
        <w:t>խադրումների հեռավորությունից, 02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 w:rsidR="00CE0681" w:rsidRPr="00CE0681">
        <w:rPr>
          <w:rFonts w:ascii="Sylfaen" w:hAnsi="Sylfaen"/>
          <w:sz w:val="28"/>
          <w:szCs w:val="28"/>
          <w:lang w:val="hy-AM"/>
        </w:rPr>
        <w:t>6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>
        <w:rPr>
          <w:rFonts w:ascii="Sylfaen" w:hAnsi="Sylfaen"/>
          <w:sz w:val="28"/>
          <w:szCs w:val="28"/>
          <w:lang w:val="hy-AM"/>
        </w:rPr>
        <w:t>0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6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E671F2" w:rsidRDefault="00E671F2" w:rsidP="00E671F2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</w:p>
    <w:p w:rsidR="00E671F2" w:rsidRDefault="00E671F2" w:rsidP="00E671F2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p w:rsidR="00E671F2" w:rsidRPr="00C80899" w:rsidRDefault="00E671F2" w:rsidP="00E671F2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982"/>
        <w:gridCol w:w="1403"/>
      </w:tblGrid>
      <w:tr w:rsidR="00E671F2" w:rsidRPr="00C80899" w:rsidTr="00E671F2">
        <w:trPr>
          <w:trHeight w:val="733"/>
        </w:trPr>
        <w:tc>
          <w:tcPr>
            <w:tcW w:w="5811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06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671F2" w:rsidRPr="00C80899" w:rsidTr="00E671F2">
        <w:trPr>
          <w:trHeight w:val="706"/>
        </w:trPr>
        <w:tc>
          <w:tcPr>
            <w:tcW w:w="5811" w:type="dxa"/>
            <w:vMerge w:val="restart"/>
            <w:vAlign w:val="center"/>
          </w:tcPr>
          <w:p w:rsidR="00E671F2" w:rsidRPr="00C80899" w:rsidRDefault="00E671F2" w:rsidP="00E671F2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023D97">
              <w:rPr>
                <w:rFonts w:ascii="Sylfaen" w:hAnsi="Sylfaen" w:cs="Sylfaen"/>
                <w:lang w:val="ru-RU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023D97">
              <w:rPr>
                <w:rFonts w:ascii="Sylfaen" w:hAnsi="Sylfaen" w:cs="Sylfaen"/>
                <w:lang w:val="ru-RU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671F2" w:rsidRPr="00CA3B83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3B83">
              <w:rPr>
                <w:color w:val="000000"/>
              </w:rPr>
              <w:t>0,94</w:t>
            </w:r>
          </w:p>
        </w:tc>
      </w:tr>
      <w:tr w:rsidR="00E671F2" w:rsidRPr="00C80899" w:rsidTr="00E671F2">
        <w:trPr>
          <w:trHeight w:val="648"/>
        </w:trPr>
        <w:tc>
          <w:tcPr>
            <w:tcW w:w="5811" w:type="dxa"/>
            <w:vMerge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671F2" w:rsidRPr="00CA3B83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</w:t>
            </w:r>
          </w:p>
        </w:tc>
      </w:tr>
      <w:tr w:rsidR="00E671F2" w:rsidRPr="00C80899" w:rsidTr="00E671F2">
        <w:tc>
          <w:tcPr>
            <w:tcW w:w="5811" w:type="dxa"/>
            <w:vMerge w:val="restart"/>
            <w:vAlign w:val="center"/>
          </w:tcPr>
          <w:p w:rsidR="00E671F2" w:rsidRPr="00C80899" w:rsidRDefault="00E671F2" w:rsidP="00E671F2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671F2" w:rsidRPr="00231E71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Pr="00231E71">
              <w:rPr>
                <w:color w:val="000000"/>
              </w:rPr>
              <w:t>783</w:t>
            </w:r>
          </w:p>
        </w:tc>
      </w:tr>
      <w:tr w:rsidR="00E671F2" w:rsidRPr="00C80899" w:rsidTr="00E671F2">
        <w:tc>
          <w:tcPr>
            <w:tcW w:w="5811" w:type="dxa"/>
            <w:vMerge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671F2" w:rsidRPr="00231E71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Pr="00231E71">
              <w:rPr>
                <w:color w:val="000000"/>
              </w:rPr>
              <w:t>838</w:t>
            </w:r>
          </w:p>
        </w:tc>
      </w:tr>
    </w:tbl>
    <w:p w:rsidR="00E671F2" w:rsidRPr="00C80899" w:rsidRDefault="00E671F2" w:rsidP="00E671F2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671F2" w:rsidRPr="00C80899" w:rsidRDefault="00E671F2" w:rsidP="00E671F2">
      <w:pPr>
        <w:numPr>
          <w:ilvl w:val="0"/>
          <w:numId w:val="7"/>
        </w:numPr>
        <w:tabs>
          <w:tab w:val="left" w:pos="0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E671F2" w:rsidRDefault="00E671F2" w:rsidP="00E671F2">
      <w:pPr>
        <w:pStyle w:val="a8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671F2" w:rsidRDefault="00E671F2" w:rsidP="00E671F2">
      <w:pPr>
        <w:pStyle w:val="a8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</w:p>
    <w:p w:rsidR="00E671F2" w:rsidRDefault="00E671F2" w:rsidP="00E671F2">
      <w:pPr>
        <w:pStyle w:val="a8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</w:p>
    <w:p w:rsidR="00E671F2" w:rsidRDefault="00E671F2" w:rsidP="00E671F2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lastRenderedPageBreak/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</w:rPr>
        <w:t>2</w:t>
      </w:r>
      <w:r w:rsidRPr="00B92CBA">
        <w:rPr>
          <w:rFonts w:ascii="Sylfaen" w:hAnsi="Sylfaen"/>
          <w:sz w:val="28"/>
          <w:szCs w:val="28"/>
          <w:lang w:val="hy-AM"/>
        </w:rPr>
        <w:t>.</w:t>
      </w:r>
    </w:p>
    <w:p w:rsidR="00E671F2" w:rsidRPr="00B92CBA" w:rsidRDefault="00E671F2" w:rsidP="00E671F2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E671F2" w:rsidRPr="00CC2EA1" w:rsidTr="00E671F2">
        <w:trPr>
          <w:trHeight w:val="329"/>
        </w:trPr>
        <w:tc>
          <w:tcPr>
            <w:tcW w:w="2972" w:type="dxa"/>
            <w:shd w:val="clear" w:color="auto" w:fill="auto"/>
          </w:tcPr>
          <w:p w:rsidR="00E671F2" w:rsidRPr="00EF3999" w:rsidRDefault="00E671F2" w:rsidP="00E671F2">
            <w:pPr>
              <w:pStyle w:val="a8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671F2" w:rsidRPr="00CC2EA1" w:rsidTr="00E671F2">
        <w:tc>
          <w:tcPr>
            <w:tcW w:w="2972" w:type="dxa"/>
            <w:vMerge w:val="restart"/>
            <w:shd w:val="clear" w:color="auto" w:fill="auto"/>
          </w:tcPr>
          <w:p w:rsidR="00E671F2" w:rsidRPr="00EF3999" w:rsidRDefault="00E671F2" w:rsidP="00E671F2">
            <w:pPr>
              <w:pStyle w:val="a8"/>
              <w:spacing w:line="320" w:lineRule="exact"/>
              <w:ind w:left="0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1,010</w:t>
            </w:r>
          </w:p>
        </w:tc>
      </w:tr>
      <w:tr w:rsidR="00E671F2" w:rsidRPr="00CC2EA1" w:rsidTr="00E671F2">
        <w:tc>
          <w:tcPr>
            <w:tcW w:w="2972" w:type="dxa"/>
            <w:vMerge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  <w:shd w:val="clear" w:color="auto" w:fill="auto"/>
          </w:tcPr>
          <w:p w:rsidR="00E671F2" w:rsidRPr="00231E71" w:rsidRDefault="00E671F2" w:rsidP="00E671F2">
            <w:pPr>
              <w:pStyle w:val="a8"/>
              <w:ind w:left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231E71">
              <w:rPr>
                <w:color w:val="000000"/>
              </w:rPr>
              <w:t>1,020</w:t>
            </w:r>
          </w:p>
        </w:tc>
      </w:tr>
      <w:tr w:rsidR="00E671F2" w:rsidRPr="00CC2EA1" w:rsidTr="00E671F2">
        <w:tc>
          <w:tcPr>
            <w:tcW w:w="2972" w:type="dxa"/>
            <w:vMerge w:val="restart"/>
            <w:shd w:val="clear" w:color="auto" w:fill="auto"/>
          </w:tcPr>
          <w:p w:rsidR="00E671F2" w:rsidRPr="00EF3999" w:rsidRDefault="00E671F2" w:rsidP="00E671F2">
            <w:pPr>
              <w:pStyle w:val="a8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CE0681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0,9</w:t>
            </w:r>
            <w:r w:rsidR="00CE0681">
              <w:rPr>
                <w:color w:val="000000"/>
                <w:lang w:val="ru-RU"/>
              </w:rPr>
              <w:t>8</w:t>
            </w:r>
            <w:r w:rsidRPr="00EF3999">
              <w:rPr>
                <w:color w:val="000000"/>
              </w:rPr>
              <w:t>0</w:t>
            </w:r>
          </w:p>
        </w:tc>
      </w:tr>
      <w:tr w:rsidR="00E671F2" w:rsidRPr="00CC2EA1" w:rsidTr="00E671F2">
        <w:tc>
          <w:tcPr>
            <w:tcW w:w="2972" w:type="dxa"/>
            <w:vMerge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CE0681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0,9</w:t>
            </w:r>
            <w:r w:rsidR="00CE0681">
              <w:rPr>
                <w:color w:val="000000"/>
                <w:lang w:val="ru-RU"/>
              </w:rPr>
              <w:t>9</w:t>
            </w:r>
            <w:r w:rsidRPr="00EF3999">
              <w:rPr>
                <w:color w:val="000000"/>
              </w:rPr>
              <w:t>0</w:t>
            </w:r>
          </w:p>
        </w:tc>
      </w:tr>
    </w:tbl>
    <w:p w:rsidR="00E671F2" w:rsidRPr="00C80899" w:rsidRDefault="00E671F2" w:rsidP="00E671F2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671F2" w:rsidRPr="00C80899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նշանակու</w:t>
      </w:r>
      <w:r>
        <w:rPr>
          <w:rFonts w:ascii="Sylfaen" w:hAnsi="Sylfaen"/>
          <w:sz w:val="28"/>
          <w:szCs w:val="28"/>
          <w:lang w:val="hy-AM"/>
        </w:rPr>
        <w:t>մով</w:t>
      </w:r>
      <w:r w:rsidRPr="00C80899">
        <w:rPr>
          <w:rFonts w:ascii="Sylfaen" w:hAnsi="Sylfaen"/>
          <w:sz w:val="28"/>
          <w:szCs w:val="28"/>
          <w:lang w:val="hy-AM"/>
        </w:rPr>
        <w:t xml:space="preserve"> բեռների փոխադրման համար փոխադրավճարը հաշվարկելիս՝ «Աղյուսակ 1»-ին լրացուցիչ 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>կկիրառվի 0,5</w:t>
      </w:r>
      <w:r>
        <w:rPr>
          <w:rFonts w:ascii="Sylfaen" w:hAnsi="Sylfaen"/>
          <w:color w:val="000000"/>
          <w:sz w:val="28"/>
          <w:szCs w:val="28"/>
          <w:lang w:val="hy-AM"/>
        </w:rPr>
        <w:t>1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ՍՔ 2.5 կետում նշված և նավթաբենզինային բեռների հաշվարկի):</w:t>
      </w:r>
    </w:p>
    <w:p w:rsidR="00E671F2" w:rsidRPr="00BF40AE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BF40AE">
        <w:rPr>
          <w:rFonts w:ascii="Sylfaen" w:hAnsi="Sylfaen"/>
          <w:sz w:val="27"/>
          <w:szCs w:val="27"/>
          <w:lang w:val="hy-AM"/>
        </w:rPr>
        <w:t>30 և ավելի տոննա բրուտտո առավելագույն /</w:t>
      </w:r>
      <w:r>
        <w:rPr>
          <w:rFonts w:ascii="Sylfaen" w:hAnsi="Sylfaen"/>
          <w:sz w:val="27"/>
          <w:szCs w:val="27"/>
          <w:lang w:val="hy-AM"/>
        </w:rPr>
        <w:t>ցուցանակ</w:t>
      </w:r>
      <w:r w:rsidRPr="00BF40AE">
        <w:rPr>
          <w:rFonts w:ascii="Sylfaen" w:hAnsi="Sylfaen"/>
          <w:sz w:val="27"/>
          <w:szCs w:val="27"/>
          <w:lang w:val="hy-AM"/>
        </w:rPr>
        <w:t>ային/ զանգվածով և 24 տոննայից ավելի փաստացի զանգվածով 20 ֆուտ կարգի համապիտանի բեռնարկղների փոխադրավճարը հաշվարկելիս՝ «2022 ֆրախտային տարվա երկաթուղային տրանսպորտով բեռների փոխադրման «ՀԿԵ» ՓԲԸ-ի Սակագնային Քաղաքականության» 1.15.10 կետը չի կիրառվի:</w:t>
      </w:r>
    </w:p>
    <w:p w:rsidR="00E671F2" w:rsidRPr="00BF40AE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BF40AE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 և 2»-ին լրացուցիչ կկիրառվի 0,8 գործակիցը: </w:t>
      </w:r>
    </w:p>
    <w:p w:rsidR="00E80B8A" w:rsidRPr="00502C31" w:rsidRDefault="00E80B8A" w:rsidP="00E671F2">
      <w:pPr>
        <w:spacing w:line="320" w:lineRule="exact"/>
        <w:ind w:left="284" w:firstLine="436"/>
        <w:jc w:val="both"/>
        <w:rPr>
          <w:sz w:val="18"/>
          <w:szCs w:val="18"/>
          <w:lang w:val="hy-AM"/>
        </w:rPr>
      </w:pP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CFD0095"/>
    <w:multiLevelType w:val="hybridMultilevel"/>
    <w:tmpl w:val="9B1E501A"/>
    <w:lvl w:ilvl="0" w:tplc="0344B3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47581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0681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53622"/>
    <w:rsid w:val="00E53BD8"/>
    <w:rsid w:val="00E671F2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3999"/>
    <w:rsid w:val="00EF6204"/>
    <w:rsid w:val="00EF6516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DDE9-8A84-41E1-9437-7C8B46D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2022-05-19T06:08:00Z</dcterms:created>
  <dcterms:modified xsi:type="dcterms:W3CDTF">2022-05-19T06:08:00Z</dcterms:modified>
</cp:coreProperties>
</file>