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732003" w:rsidRDefault="007828CF" w:rsidP="00B16427">
      <w:pPr>
        <w:spacing w:line="320" w:lineRule="exact"/>
        <w:jc w:val="center"/>
        <w:rPr>
          <w:lang w:val="ru-RU"/>
        </w:rPr>
      </w:pPr>
      <w:r w:rsidRPr="00732003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47.6pt" o:ole="">
            <v:imagedata r:id="rId8" o:title=""/>
          </v:shape>
          <o:OLEObject Type="Embed" ProgID="CorelDraw.Graphic.12" ShapeID="_x0000_i1025" DrawAspect="Content" ObjectID="_1693053849" r:id="rId9"/>
        </w:object>
      </w:r>
    </w:p>
    <w:p w:rsidR="007828CF" w:rsidRPr="00732003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732003">
        <w:rPr>
          <w:bCs/>
          <w:sz w:val="28"/>
          <w:lang w:val="ru-RU"/>
        </w:rPr>
        <w:t>ЗАКРЫТОЕ АКЦИОНЕРНОЕ ОБЩЕСТВО</w:t>
      </w:r>
    </w:p>
    <w:p w:rsidR="007828CF" w:rsidRPr="00732003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>«ЮЖНО-КАВКАЗСКАЯ ЖЕЛЕЗНАЯ ДОРОГА»</w:t>
      </w:r>
    </w:p>
    <w:p w:rsidR="000552E2" w:rsidRPr="00732003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 xml:space="preserve"> </w:t>
      </w:r>
      <w:r w:rsidR="000552E2" w:rsidRPr="00732003">
        <w:rPr>
          <w:b/>
          <w:sz w:val="28"/>
          <w:lang w:val="ru-RU"/>
        </w:rPr>
        <w:t>(</w:t>
      </w:r>
      <w:r w:rsidRPr="00732003">
        <w:rPr>
          <w:rFonts w:ascii="Sylfaen" w:hAnsi="Sylfaen"/>
          <w:b/>
          <w:sz w:val="28"/>
          <w:lang w:val="ru-RU"/>
        </w:rPr>
        <w:t>ЗАО «ЮКЖД»</w:t>
      </w:r>
      <w:r w:rsidR="000552E2" w:rsidRPr="00732003">
        <w:rPr>
          <w:b/>
          <w:sz w:val="28"/>
          <w:lang w:val="ru-RU"/>
        </w:rPr>
        <w:t>)</w:t>
      </w:r>
    </w:p>
    <w:p w:rsidR="007B4022" w:rsidRPr="00732003" w:rsidRDefault="007B4022" w:rsidP="00D557AE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6427" w:rsidRPr="00732003" w:rsidRDefault="00B16427" w:rsidP="00B16427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</w:t>
      </w:r>
      <w:r w:rsidR="00042CF4">
        <w:rPr>
          <w:rFonts w:ascii="Times New Roman" w:hAnsi="Times New Roman"/>
          <w:sz w:val="28"/>
          <w:szCs w:val="28"/>
          <w:lang w:val="ru-RU"/>
        </w:rPr>
        <w:t>1</w:t>
      </w:r>
      <w:r w:rsidRPr="00732003">
        <w:rPr>
          <w:rFonts w:ascii="Times New Roman" w:hAnsi="Times New Roman"/>
          <w:sz w:val="28"/>
          <w:szCs w:val="28"/>
          <w:lang w:val="ru-RU"/>
        </w:rPr>
        <w:t xml:space="preserve"> фрахтовый год:</w:t>
      </w:r>
    </w:p>
    <w:p w:rsidR="00493EDA" w:rsidRDefault="00493EDA" w:rsidP="00493EDA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01.10.2021г. по 31.12.2021г. при расчете провозной платы за перевозки грузов, в зависимости от дальности перевозок, </w:t>
      </w:r>
      <w:r w:rsidR="00F666AD">
        <w:rPr>
          <w:rFonts w:ascii="Times New Roman" w:hAnsi="Times New Roman"/>
          <w:sz w:val="28"/>
          <w:szCs w:val="28"/>
          <w:lang w:val="ru-RU"/>
        </w:rPr>
        <w:t>будут применятся</w:t>
      </w:r>
      <w:r>
        <w:rPr>
          <w:rFonts w:ascii="Times New Roman" w:hAnsi="Times New Roman"/>
          <w:sz w:val="28"/>
          <w:szCs w:val="28"/>
          <w:lang w:val="ru-RU"/>
        </w:rPr>
        <w:t xml:space="preserve"> коэффициенты, указанные в Таблице1</w:t>
      </w:r>
      <w:r>
        <w:rPr>
          <w:rFonts w:ascii="Times New Roman" w:hAnsi="Times New Roman"/>
          <w:sz w:val="28"/>
          <w:szCs w:val="28"/>
          <w:lang w:val="hy-AM"/>
        </w:rPr>
        <w:t>:</w:t>
      </w:r>
    </w:p>
    <w:p w:rsidR="00493EDA" w:rsidRDefault="00493EDA" w:rsidP="00493EDA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1.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1451"/>
        <w:gridCol w:w="1847"/>
      </w:tblGrid>
      <w:tr w:rsidR="00493EDA" w:rsidTr="00493EDA">
        <w:trPr>
          <w:trHeight w:val="576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</w:pPr>
            <w:r>
              <w:t>Тип подвижного состава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</w:pPr>
            <w:r>
              <w:t>Пояс дальности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</w:pPr>
            <w:r>
              <w:t>Kоэффициент</w:t>
            </w:r>
          </w:p>
        </w:tc>
      </w:tr>
      <w:tr w:rsidR="00493EDA" w:rsidTr="00493EDA">
        <w:trPr>
          <w:trHeight w:val="491"/>
          <w:jc w:val="center"/>
        </w:trPr>
        <w:tc>
          <w:tcPr>
            <w:tcW w:w="6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 w:rsidP="00493EDA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>
              <w:rPr>
                <w:color w:val="000000" w:themeColor="text1"/>
              </w:rPr>
              <w:t>0,</w:t>
            </w:r>
            <w:r>
              <w:rPr>
                <w:color w:val="000000" w:themeColor="text1"/>
                <w:lang w:val="ru-RU"/>
              </w:rPr>
              <w:t>91</w:t>
            </w:r>
          </w:p>
        </w:tc>
      </w:tr>
      <w:tr w:rsidR="00493EDA" w:rsidTr="00493EDA">
        <w:trPr>
          <w:trHeight w:val="365"/>
          <w:jc w:val="center"/>
        </w:trPr>
        <w:tc>
          <w:tcPr>
            <w:tcW w:w="6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0,9</w:t>
            </w:r>
            <w:r>
              <w:rPr>
                <w:color w:val="000000" w:themeColor="text1"/>
                <w:lang w:val="ru-RU"/>
              </w:rPr>
              <w:t>69</w:t>
            </w:r>
          </w:p>
        </w:tc>
      </w:tr>
      <w:tr w:rsidR="00493EDA" w:rsidTr="00493EDA">
        <w:trPr>
          <w:trHeight w:val="285"/>
          <w:jc w:val="center"/>
        </w:trPr>
        <w:tc>
          <w:tcPr>
            <w:tcW w:w="6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 w:rsidP="00493EDA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0,</w:t>
            </w:r>
            <w:r>
              <w:rPr>
                <w:color w:val="000000" w:themeColor="text1"/>
                <w:lang w:val="ru-RU"/>
              </w:rPr>
              <w:t>703</w:t>
            </w:r>
          </w:p>
        </w:tc>
      </w:tr>
      <w:tr w:rsidR="00493EDA" w:rsidTr="00493EDA">
        <w:trPr>
          <w:trHeight w:val="280"/>
          <w:jc w:val="center"/>
        </w:trPr>
        <w:tc>
          <w:tcPr>
            <w:tcW w:w="6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0,7</w:t>
            </w:r>
            <w:r>
              <w:rPr>
                <w:color w:val="000000" w:themeColor="text1"/>
                <w:lang w:val="ru-RU"/>
              </w:rPr>
              <w:t>62</w:t>
            </w:r>
          </w:p>
        </w:tc>
      </w:tr>
    </w:tbl>
    <w:p w:rsidR="00493EDA" w:rsidRDefault="00493EDA" w:rsidP="00493EDA">
      <w:pPr>
        <w:pStyle w:val="aa"/>
        <w:ind w:left="142"/>
        <w:jc w:val="both"/>
        <w:rPr>
          <w:sz w:val="28"/>
          <w:szCs w:val="28"/>
          <w:lang w:val="ru-RU"/>
        </w:rPr>
      </w:pPr>
    </w:p>
    <w:p w:rsidR="00493EDA" w:rsidRDefault="00493EDA" w:rsidP="00493EDA">
      <w:pPr>
        <w:pStyle w:val="aa"/>
        <w:numPr>
          <w:ilvl w:val="0"/>
          <w:numId w:val="13"/>
        </w:numPr>
        <w:ind w:left="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расчете провозной платы за перевозки грузов в вагонах в международном сообщении через погранпереход Айрум эксп. (код станции 569706), дополнительно </w:t>
      </w:r>
      <w:r w:rsidR="00F666AD">
        <w:rPr>
          <w:sz w:val="28"/>
          <w:szCs w:val="28"/>
          <w:lang w:val="ru-RU"/>
        </w:rPr>
        <w:t>будут применятся</w:t>
      </w:r>
      <w:r>
        <w:rPr>
          <w:sz w:val="28"/>
          <w:szCs w:val="28"/>
          <w:lang w:val="ru-RU"/>
        </w:rPr>
        <w:t xml:space="preserve"> коэффициенты, указанные в таблице 2: </w:t>
      </w:r>
    </w:p>
    <w:p w:rsidR="00493EDA" w:rsidRDefault="00493EDA" w:rsidP="00493EDA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3EDA" w:rsidRDefault="00493EDA" w:rsidP="00493EDA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2.</w:t>
      </w:r>
    </w:p>
    <w:tbl>
      <w:tblPr>
        <w:tblStyle w:val="a6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254"/>
        <w:gridCol w:w="1504"/>
        <w:gridCol w:w="1613"/>
      </w:tblGrid>
      <w:tr w:rsidR="00493EDA" w:rsidTr="00493EDA">
        <w:trPr>
          <w:trHeight w:val="17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Вид сообщения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lang w:val="ru-RU"/>
              </w:rPr>
            </w:pPr>
            <w:r>
              <w:t>Пояс дальности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Kоэффициент</w:t>
            </w:r>
          </w:p>
        </w:tc>
      </w:tr>
      <w:tr w:rsidR="00493EDA" w:rsidTr="00493EDA">
        <w:trPr>
          <w:trHeight w:val="25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rPr>
                <w:lang w:val="ru-RU"/>
              </w:rPr>
            </w:pPr>
            <w:r>
              <w:rPr>
                <w:lang w:val="ru-RU"/>
              </w:rPr>
              <w:t>Экспорт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>
              <w:t>до 250 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1,0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lang w:val="ru-RU"/>
              </w:rPr>
              <w:t>1</w:t>
            </w:r>
          </w:p>
        </w:tc>
      </w:tr>
      <w:tr w:rsidR="00493EDA" w:rsidTr="00493EDA">
        <w:trPr>
          <w:trHeight w:val="269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rPr>
                <w:lang w:val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>
              <w:t>с 251 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1,0</w:t>
            </w:r>
            <w:r>
              <w:rPr>
                <w:color w:val="000000" w:themeColor="text1"/>
              </w:rPr>
              <w:t>30</w:t>
            </w:r>
          </w:p>
        </w:tc>
      </w:tr>
      <w:tr w:rsidR="00493EDA" w:rsidTr="00493EDA">
        <w:trPr>
          <w:trHeight w:val="25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Импорт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>
              <w:t>до 250 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0,961</w:t>
            </w:r>
          </w:p>
        </w:tc>
      </w:tr>
      <w:tr w:rsidR="00493EDA" w:rsidTr="00493EDA">
        <w:trPr>
          <w:trHeight w:val="269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rPr>
                <w:lang w:val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>
              <w:t>с 251 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0,972</w:t>
            </w:r>
          </w:p>
        </w:tc>
      </w:tr>
    </w:tbl>
    <w:p w:rsidR="00493EDA" w:rsidRDefault="00493EDA" w:rsidP="00493EDA">
      <w:pPr>
        <w:jc w:val="both"/>
        <w:rPr>
          <w:sz w:val="28"/>
          <w:szCs w:val="28"/>
          <w:lang w:val="ru-RU"/>
        </w:rPr>
      </w:pPr>
    </w:p>
    <w:p w:rsidR="00493EDA" w:rsidRDefault="00493EDA" w:rsidP="00493EDA">
      <w:pPr>
        <w:pStyle w:val="aa"/>
        <w:numPr>
          <w:ilvl w:val="0"/>
          <w:numId w:val="13"/>
        </w:numPr>
        <w:ind w:left="-28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расчете провозной платы за перевозки груженых вагонов, отправляемых со станций ЗАО «ЮКЖД» назначением на станции ЗАО «ЮКЖД», дополнительно к Таблице 1 </w:t>
      </w:r>
      <w:r w:rsidR="00B776F8">
        <w:rPr>
          <w:sz w:val="28"/>
          <w:szCs w:val="28"/>
          <w:lang w:val="ru-RU"/>
        </w:rPr>
        <w:t>будет применятся</w:t>
      </w:r>
      <w:r>
        <w:rPr>
          <w:sz w:val="28"/>
          <w:szCs w:val="28"/>
          <w:lang w:val="ru-RU"/>
        </w:rPr>
        <w:t xml:space="preserve"> коэффициент </w:t>
      </w:r>
      <w:r>
        <w:rPr>
          <w:color w:val="000000" w:themeColor="text1"/>
          <w:sz w:val="28"/>
          <w:szCs w:val="28"/>
          <w:lang w:val="ru-RU"/>
        </w:rPr>
        <w:t>0,505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(кроме расчета провозной платы грузов, указанных в пункте 2.5 ТП ЗАО «ЮКЖД» на 2021 год и нефтеналивных грузов).</w:t>
      </w:r>
    </w:p>
    <w:p w:rsidR="00493EDA" w:rsidRDefault="00493EDA" w:rsidP="00493EDA">
      <w:pPr>
        <w:pStyle w:val="aa"/>
        <w:numPr>
          <w:ilvl w:val="0"/>
          <w:numId w:val="13"/>
        </w:numPr>
        <w:ind w:left="-28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</w:t>
      </w:r>
      <w:bookmarkStart w:id="0" w:name="_GoBack"/>
      <w:bookmarkEnd w:id="0"/>
      <w:r>
        <w:rPr>
          <w:sz w:val="28"/>
          <w:szCs w:val="28"/>
          <w:lang w:val="ru-RU"/>
        </w:rPr>
        <w:t>тто более 24тн, пункт 1.14.10 «Тарифной политики ЗАО «ЮКЖД» на перевозки грузов железнодорожным транспортом на 2021 фрахтовый год», не применяется.</w:t>
      </w:r>
    </w:p>
    <w:p w:rsidR="00493EDA" w:rsidRDefault="00493EDA" w:rsidP="00493EDA">
      <w:pPr>
        <w:pStyle w:val="aa"/>
        <w:numPr>
          <w:ilvl w:val="0"/>
          <w:numId w:val="13"/>
        </w:numPr>
        <w:ind w:left="-28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Таблице 1 </w:t>
      </w:r>
      <w:r w:rsidR="00F666AD">
        <w:rPr>
          <w:sz w:val="28"/>
          <w:szCs w:val="28"/>
          <w:lang w:val="ru-RU"/>
        </w:rPr>
        <w:t>будет применятся</w:t>
      </w:r>
      <w:r>
        <w:rPr>
          <w:sz w:val="28"/>
          <w:szCs w:val="28"/>
          <w:lang w:val="ru-RU"/>
        </w:rPr>
        <w:t xml:space="preserve"> коэффициент 0,8.</w:t>
      </w:r>
    </w:p>
    <w:p w:rsidR="006D2AB4" w:rsidRPr="00C8089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sz w:val="28"/>
          <w:szCs w:val="28"/>
          <w:lang w:val="ru-RU"/>
        </w:rPr>
        <w:lastRenderedPageBreak/>
        <w:t>20</w:t>
      </w:r>
      <w:r w:rsidR="00B16427" w:rsidRPr="00C80899">
        <w:rPr>
          <w:sz w:val="28"/>
          <w:szCs w:val="28"/>
          <w:lang w:val="ru-RU"/>
        </w:rPr>
        <w:t>2</w:t>
      </w:r>
      <w:r w:rsidR="00042CF4">
        <w:rPr>
          <w:sz w:val="28"/>
          <w:szCs w:val="28"/>
          <w:lang w:val="ru-RU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="00493EDA" w:rsidRPr="00493EDA">
        <w:rPr>
          <w:rFonts w:ascii="Sylfaen" w:hAnsi="Sylfaen"/>
          <w:sz w:val="28"/>
          <w:szCs w:val="28"/>
          <w:lang w:val="hy-AM"/>
        </w:rPr>
        <w:t>10</w:t>
      </w:r>
      <w:r w:rsidRPr="00C80899">
        <w:rPr>
          <w:rFonts w:ascii="Sylfaen" w:hAnsi="Sylfaen"/>
          <w:sz w:val="28"/>
          <w:szCs w:val="28"/>
          <w:lang w:val="hy-AM"/>
        </w:rPr>
        <w:t>.20</w:t>
      </w:r>
      <w:r w:rsidR="00B16427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թ. - 3</w:t>
      </w:r>
      <w:r w:rsidR="00493EDA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.</w:t>
      </w:r>
      <w:r w:rsidR="00493EDA" w:rsidRPr="00493EDA">
        <w:rPr>
          <w:rFonts w:ascii="Sylfaen" w:hAnsi="Sylfaen"/>
          <w:sz w:val="28"/>
          <w:szCs w:val="28"/>
          <w:lang w:val="hy-AM"/>
        </w:rPr>
        <w:t>12</w:t>
      </w:r>
      <w:r w:rsidRPr="00C80899">
        <w:rPr>
          <w:rFonts w:ascii="Sylfaen" w:hAnsi="Sylfaen"/>
          <w:sz w:val="28"/>
          <w:szCs w:val="28"/>
          <w:lang w:val="hy-AM"/>
        </w:rPr>
        <w:t>.20</w:t>
      </w:r>
      <w:r w:rsidR="00B16427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C8089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411"/>
      </w:tblGrid>
      <w:tr w:rsidR="00C80899" w:rsidRPr="00C80899" w:rsidTr="0020472C">
        <w:trPr>
          <w:trHeight w:val="733"/>
        </w:trPr>
        <w:tc>
          <w:tcPr>
            <w:tcW w:w="6237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5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11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493EDA" w:rsidRPr="00C80899" w:rsidTr="0020472C">
        <w:trPr>
          <w:trHeight w:val="706"/>
        </w:trPr>
        <w:tc>
          <w:tcPr>
            <w:tcW w:w="6237" w:type="dxa"/>
            <w:vMerge w:val="restart"/>
            <w:vAlign w:val="center"/>
          </w:tcPr>
          <w:p w:rsidR="00493EDA" w:rsidRPr="00C80899" w:rsidRDefault="00493EDA" w:rsidP="00493EDA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Համապիտանի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մասնագիտացված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(</w:t>
            </w:r>
            <w:r w:rsidRPr="00C80899">
              <w:rPr>
                <w:rFonts w:ascii="Sylfaen" w:hAnsi="Sylfaen" w:cs="Sylfaen"/>
                <w:lang w:val="hy-AM"/>
              </w:rPr>
              <w:t>բացառությամբ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այն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շարժակազմի</w:t>
            </w:r>
            <w:r w:rsidRPr="00C80899">
              <w:rPr>
                <w:rFonts w:ascii="Sylfaen" w:hAnsi="Sylfaen"/>
                <w:lang w:val="hy-AM"/>
              </w:rPr>
              <w:t xml:space="preserve">, </w:t>
            </w:r>
            <w:r w:rsidRPr="00C80899">
              <w:rPr>
                <w:rFonts w:ascii="Sylfaen" w:hAnsi="Sylfaen" w:cs="Sylfaen"/>
                <w:lang w:val="hy-AM"/>
              </w:rPr>
              <w:t>որի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սակագնի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դրույքաչափերը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նշված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են</w:t>
            </w:r>
            <w:r w:rsidRPr="00C80899">
              <w:rPr>
                <w:rFonts w:ascii="Sylfaen" w:hAnsi="Sylfaen"/>
                <w:lang w:val="hy-AM"/>
              </w:rPr>
              <w:t xml:space="preserve"> «</w:t>
            </w:r>
            <w:r w:rsidRPr="00C80899">
              <w:rPr>
                <w:rFonts w:ascii="Sylfaen" w:hAnsi="Sylfaen" w:cs="Sylfaen"/>
                <w:lang w:val="hy-AM"/>
              </w:rPr>
              <w:t>ՀԿԵ</w:t>
            </w:r>
            <w:r w:rsidRPr="00C80899">
              <w:rPr>
                <w:rFonts w:ascii="Sylfaen" w:hAnsi="Sylfaen"/>
                <w:lang w:val="hy-AM"/>
              </w:rPr>
              <w:t xml:space="preserve">» </w:t>
            </w:r>
            <w:r w:rsidRPr="00C80899">
              <w:rPr>
                <w:rFonts w:ascii="Sylfaen" w:hAnsi="Sylfaen" w:cs="Sylfaen"/>
                <w:lang w:val="hy-AM"/>
              </w:rPr>
              <w:t>ՓԲԸ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ՍՔ</w:t>
            </w:r>
            <w:r w:rsidRPr="00C80899">
              <w:rPr>
                <w:rFonts w:ascii="Sylfaen" w:hAnsi="Sylfaen"/>
                <w:lang w:val="hy-AM"/>
              </w:rPr>
              <w:t xml:space="preserve"> 2-3 </w:t>
            </w:r>
            <w:r w:rsidRPr="00C80899">
              <w:rPr>
                <w:rFonts w:ascii="Sylfaen" w:hAnsi="Sylfaen" w:cs="Sylfaen"/>
                <w:lang w:val="hy-AM"/>
              </w:rPr>
              <w:t>հավելվածում</w:t>
            </w:r>
            <w:r w:rsidRPr="00C80899">
              <w:rPr>
                <w:rFonts w:ascii="Sylfaen" w:hAnsi="Sylfaen" w:cs="Sylfaen"/>
              </w:rPr>
              <w:t>,</w:t>
            </w:r>
            <w:r w:rsidRPr="00C8089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C80899">
              <w:rPr>
                <w:rFonts w:ascii="Sylfaen" w:hAnsi="Sylfaen" w:cs="Sylfaen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8089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493EDA" w:rsidRDefault="00493EDA" w:rsidP="00493EDA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>
              <w:rPr>
                <w:color w:val="000000" w:themeColor="text1"/>
              </w:rPr>
              <w:t>0,</w:t>
            </w:r>
            <w:r>
              <w:rPr>
                <w:color w:val="000000" w:themeColor="text1"/>
                <w:lang w:val="ru-RU"/>
              </w:rPr>
              <w:t>91</w:t>
            </w:r>
          </w:p>
        </w:tc>
      </w:tr>
      <w:tr w:rsidR="00493EDA" w:rsidRPr="00C80899" w:rsidTr="0020472C">
        <w:trPr>
          <w:trHeight w:val="648"/>
        </w:trPr>
        <w:tc>
          <w:tcPr>
            <w:tcW w:w="6237" w:type="dxa"/>
            <w:vMerge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493EDA" w:rsidRDefault="00493EDA" w:rsidP="00493ED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0,9</w:t>
            </w:r>
            <w:r>
              <w:rPr>
                <w:color w:val="000000" w:themeColor="text1"/>
                <w:lang w:val="ru-RU"/>
              </w:rPr>
              <w:t>69</w:t>
            </w:r>
          </w:p>
        </w:tc>
      </w:tr>
      <w:tr w:rsidR="00493EDA" w:rsidRPr="00C80899" w:rsidTr="0020472C">
        <w:tc>
          <w:tcPr>
            <w:tcW w:w="6237" w:type="dxa"/>
            <w:vMerge w:val="restart"/>
            <w:vAlign w:val="center"/>
          </w:tcPr>
          <w:p w:rsidR="00493EDA" w:rsidRPr="00C80899" w:rsidRDefault="00493EDA" w:rsidP="00493EDA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Նավթաբենզինային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գլանատակառներ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բունկերային</w:t>
            </w:r>
            <w:r w:rsidRPr="00C8089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5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493EDA" w:rsidRDefault="00493EDA" w:rsidP="00493ED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0,</w:t>
            </w:r>
            <w:r>
              <w:rPr>
                <w:color w:val="000000" w:themeColor="text1"/>
                <w:lang w:val="ru-RU"/>
              </w:rPr>
              <w:t>703</w:t>
            </w:r>
          </w:p>
        </w:tc>
      </w:tr>
      <w:tr w:rsidR="00493EDA" w:rsidRPr="00C80899" w:rsidTr="0020472C">
        <w:tc>
          <w:tcPr>
            <w:tcW w:w="6237" w:type="dxa"/>
            <w:vMerge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493EDA" w:rsidRDefault="00493EDA" w:rsidP="00493ED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0,7</w:t>
            </w:r>
            <w:r>
              <w:rPr>
                <w:color w:val="000000" w:themeColor="text1"/>
                <w:lang w:val="ru-RU"/>
              </w:rPr>
              <w:t>62</w:t>
            </w:r>
          </w:p>
        </w:tc>
      </w:tr>
    </w:tbl>
    <w:p w:rsidR="006D2AB4" w:rsidRPr="00C80899" w:rsidRDefault="006D2AB4" w:rsidP="00B1642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1BB3" w:rsidRPr="00C80899" w:rsidRDefault="00EB1BB3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B92CBA" w:rsidRDefault="00EB1BB3" w:rsidP="00B16427">
      <w:pPr>
        <w:pStyle w:val="aa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  </w:t>
      </w:r>
    </w:p>
    <w:p w:rsidR="00EB1BB3" w:rsidRPr="00B92CBA" w:rsidRDefault="00EB1BB3" w:rsidP="00783F35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B92CBA">
        <w:rPr>
          <w:rFonts w:ascii="Sylfaen" w:hAnsi="Sylfaen" w:cs="Sylfaen"/>
          <w:sz w:val="28"/>
          <w:szCs w:val="28"/>
          <w:lang w:val="hy-AM"/>
        </w:rPr>
        <w:t>Աղյուսակ</w:t>
      </w:r>
      <w:r w:rsidRPr="00B92CBA">
        <w:rPr>
          <w:rFonts w:ascii="Sylfaen" w:hAnsi="Sylfaen"/>
          <w:sz w:val="28"/>
          <w:szCs w:val="28"/>
          <w:lang w:val="hy-AM"/>
        </w:rPr>
        <w:t xml:space="preserve"> </w:t>
      </w:r>
      <w:r w:rsidRPr="00B92CBA">
        <w:rPr>
          <w:rFonts w:ascii="Sylfaen" w:hAnsi="Sylfaen"/>
          <w:sz w:val="28"/>
          <w:szCs w:val="28"/>
          <w:lang w:val="ru-RU"/>
        </w:rPr>
        <w:t>2</w:t>
      </w:r>
      <w:r w:rsidR="00264DFF" w:rsidRPr="00B92CBA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605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C2EA1" w:rsidTr="00783F35">
        <w:trPr>
          <w:trHeight w:val="329"/>
        </w:trPr>
        <w:tc>
          <w:tcPr>
            <w:tcW w:w="2972" w:type="dxa"/>
          </w:tcPr>
          <w:p w:rsidR="00B92CBA" w:rsidRPr="00C80899" w:rsidRDefault="00B92CBA" w:rsidP="00B92CBA">
            <w:pPr>
              <w:pStyle w:val="aa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</w:tcPr>
          <w:p w:rsidR="00B92CBA" w:rsidRPr="00CC2EA1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</w:tcPr>
          <w:p w:rsidR="00B92CBA" w:rsidRPr="00CC2EA1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493EDA" w:rsidRPr="00CC2EA1" w:rsidTr="00783F35">
        <w:tc>
          <w:tcPr>
            <w:tcW w:w="2972" w:type="dxa"/>
            <w:vMerge w:val="restart"/>
          </w:tcPr>
          <w:p w:rsidR="00493EDA" w:rsidRPr="00C80899" w:rsidRDefault="00493EDA" w:rsidP="00493EDA">
            <w:pPr>
              <w:pStyle w:val="aa"/>
              <w:spacing w:line="320" w:lineRule="exact"/>
              <w:ind w:left="0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493EDA" w:rsidRDefault="00493EDA" w:rsidP="00493ED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1,0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lang w:val="ru-RU"/>
              </w:rPr>
              <w:t>1</w:t>
            </w:r>
          </w:p>
        </w:tc>
      </w:tr>
      <w:tr w:rsidR="00493EDA" w:rsidRPr="00CC2EA1" w:rsidTr="00783F35">
        <w:tc>
          <w:tcPr>
            <w:tcW w:w="2972" w:type="dxa"/>
            <w:vMerge/>
          </w:tcPr>
          <w:p w:rsidR="00493EDA" w:rsidRPr="00CC2EA1" w:rsidRDefault="00493EDA" w:rsidP="00493EDA">
            <w:pPr>
              <w:pStyle w:val="aa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</w:tcPr>
          <w:p w:rsidR="00493EDA" w:rsidRDefault="00493EDA" w:rsidP="00493EDA">
            <w:pPr>
              <w:pStyle w:val="a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1,0</w:t>
            </w:r>
            <w:r>
              <w:rPr>
                <w:color w:val="000000" w:themeColor="text1"/>
              </w:rPr>
              <w:t>30</w:t>
            </w:r>
          </w:p>
        </w:tc>
      </w:tr>
      <w:tr w:rsidR="00493EDA" w:rsidRPr="00CC2EA1" w:rsidTr="00783F35">
        <w:tc>
          <w:tcPr>
            <w:tcW w:w="2972" w:type="dxa"/>
            <w:vMerge w:val="restart"/>
          </w:tcPr>
          <w:p w:rsidR="00493EDA" w:rsidRPr="00C80899" w:rsidRDefault="00493EDA" w:rsidP="00493EDA">
            <w:pPr>
              <w:pStyle w:val="aa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493EDA" w:rsidRDefault="00493EDA" w:rsidP="00493ED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0,961</w:t>
            </w:r>
          </w:p>
        </w:tc>
      </w:tr>
      <w:tr w:rsidR="00493EDA" w:rsidRPr="00CC2EA1" w:rsidTr="00783F35">
        <w:tc>
          <w:tcPr>
            <w:tcW w:w="2972" w:type="dxa"/>
            <w:vMerge/>
          </w:tcPr>
          <w:p w:rsidR="00493EDA" w:rsidRPr="00CC2EA1" w:rsidRDefault="00493EDA" w:rsidP="00493EDA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</w:tcPr>
          <w:p w:rsidR="00493EDA" w:rsidRDefault="00493EDA" w:rsidP="00493ED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0,972</w:t>
            </w:r>
          </w:p>
        </w:tc>
      </w:tr>
    </w:tbl>
    <w:p w:rsidR="00EB1BB3" w:rsidRPr="00C80899" w:rsidRDefault="00EB1BB3" w:rsidP="004320AA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«ՀԿԵ» ՓԲԸ կայարաններից դեպի «ՀԿԵ» ՓԲԸ կայարաններ նշանակոմուվ բեռների փոխադրման համար փոխադրավճարը հաշվարկելիս՝ «Աղյուսակ 1»-ին լրացուցիչ </w:t>
      </w:r>
      <w:r w:rsidRPr="00B92CBA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կկիրառվի </w:t>
      </w:r>
      <w:r w:rsidR="008B4FD0" w:rsidRPr="008B4FD0">
        <w:rPr>
          <w:rFonts w:ascii="Sylfaen" w:hAnsi="Sylfaen"/>
          <w:color w:val="000000" w:themeColor="text1"/>
          <w:sz w:val="28"/>
          <w:szCs w:val="28"/>
          <w:lang w:val="hy-AM"/>
        </w:rPr>
        <w:t>0,505</w:t>
      </w:r>
      <w:r w:rsidRPr="00B92CBA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գործակիցը </w:t>
      </w:r>
      <w:r w:rsidRPr="00C80899">
        <w:rPr>
          <w:rFonts w:ascii="Sylfaen" w:hAnsi="Sylfaen"/>
          <w:sz w:val="28"/>
          <w:szCs w:val="28"/>
          <w:lang w:val="hy-AM"/>
        </w:rPr>
        <w:t>(բացառությամբ 20</w:t>
      </w:r>
      <w:r w:rsidR="00925B51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 xml:space="preserve">թ. ՍՔ 2.5 կետում նշված </w:t>
      </w:r>
      <w:r w:rsidR="00DA3740" w:rsidRPr="00C80899">
        <w:rPr>
          <w:rFonts w:ascii="Sylfaen" w:hAnsi="Sylfaen"/>
          <w:sz w:val="28"/>
          <w:szCs w:val="28"/>
          <w:lang w:val="hy-AM"/>
        </w:rPr>
        <w:t xml:space="preserve">և նավթաբենզինային </w:t>
      </w:r>
      <w:r w:rsidRPr="00C80899">
        <w:rPr>
          <w:rFonts w:ascii="Sylfaen" w:hAnsi="Sylfaen"/>
          <w:sz w:val="28"/>
          <w:szCs w:val="28"/>
          <w:lang w:val="hy-AM"/>
        </w:rPr>
        <w:t>բեռների հաշվարկի):</w:t>
      </w: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C80899">
        <w:rPr>
          <w:rFonts w:ascii="Sylfaen" w:hAnsi="Sylfaen"/>
          <w:sz w:val="28"/>
          <w:szCs w:val="28"/>
          <w:lang w:val="hy-AM"/>
        </w:rPr>
        <w:softHyphen/>
        <w:t>դրա</w:t>
      </w:r>
      <w:r w:rsidRPr="00C8089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</w:t>
      </w:r>
      <w:r w:rsidR="00DA3740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1.14.10 կետը չի կիրառվ</w:t>
      </w:r>
      <w:r w:rsidR="008B5306" w:rsidRPr="00C80899">
        <w:rPr>
          <w:rFonts w:ascii="Sylfaen" w:hAnsi="Sylfaen"/>
          <w:sz w:val="28"/>
          <w:szCs w:val="28"/>
          <w:lang w:val="hy-AM"/>
        </w:rPr>
        <w:t>ի</w:t>
      </w:r>
      <w:r w:rsidRPr="00C80899">
        <w:rPr>
          <w:rFonts w:ascii="Sylfaen" w:hAnsi="Sylfaen"/>
          <w:sz w:val="28"/>
          <w:szCs w:val="28"/>
          <w:lang w:val="hy-AM"/>
        </w:rPr>
        <w:t>:</w:t>
      </w:r>
    </w:p>
    <w:p w:rsidR="00215D7F" w:rsidRPr="00C80899" w:rsidRDefault="0020472C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1»-ին լրացուցիչ կկիրառվի 0,8 գործակիցը: </w:t>
      </w:r>
    </w:p>
    <w:sectPr w:rsidR="00215D7F" w:rsidRPr="00C80899" w:rsidSect="0020472C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0E" w:rsidRDefault="000C050E">
      <w:r>
        <w:separator/>
      </w:r>
    </w:p>
  </w:endnote>
  <w:endnote w:type="continuationSeparator" w:id="0">
    <w:p w:rsidR="000C050E" w:rsidRDefault="000C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0E" w:rsidRDefault="000C050E">
      <w:r>
        <w:separator/>
      </w:r>
    </w:p>
  </w:footnote>
  <w:footnote w:type="continuationSeparator" w:id="0">
    <w:p w:rsidR="000C050E" w:rsidRDefault="000C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6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3974"/>
    <w:rsid w:val="00027ADC"/>
    <w:rsid w:val="00033755"/>
    <w:rsid w:val="00042CF4"/>
    <w:rsid w:val="000526F1"/>
    <w:rsid w:val="00054DCC"/>
    <w:rsid w:val="000552E2"/>
    <w:rsid w:val="0005566B"/>
    <w:rsid w:val="0006192D"/>
    <w:rsid w:val="00067B13"/>
    <w:rsid w:val="00074CCF"/>
    <w:rsid w:val="00075B90"/>
    <w:rsid w:val="00083BFB"/>
    <w:rsid w:val="00095523"/>
    <w:rsid w:val="00095FB7"/>
    <w:rsid w:val="000A3E54"/>
    <w:rsid w:val="000A6AED"/>
    <w:rsid w:val="000B1BE2"/>
    <w:rsid w:val="000C050E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0DDF"/>
    <w:rsid w:val="00193D55"/>
    <w:rsid w:val="00194EFB"/>
    <w:rsid w:val="00197974"/>
    <w:rsid w:val="001A6E36"/>
    <w:rsid w:val="001A6F57"/>
    <w:rsid w:val="001B702C"/>
    <w:rsid w:val="001C066F"/>
    <w:rsid w:val="001C1DF4"/>
    <w:rsid w:val="001D5368"/>
    <w:rsid w:val="001D6598"/>
    <w:rsid w:val="001E3A27"/>
    <w:rsid w:val="001F0CF0"/>
    <w:rsid w:val="001F24EB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2C59"/>
    <w:rsid w:val="00295747"/>
    <w:rsid w:val="002A12F8"/>
    <w:rsid w:val="002A295E"/>
    <w:rsid w:val="002B558D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3370E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6766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320AA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3EDA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4F2E7F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87D10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0C57"/>
    <w:rsid w:val="005F6667"/>
    <w:rsid w:val="00604017"/>
    <w:rsid w:val="0060595D"/>
    <w:rsid w:val="0060754A"/>
    <w:rsid w:val="0062054F"/>
    <w:rsid w:val="0062418D"/>
    <w:rsid w:val="00625DBA"/>
    <w:rsid w:val="006261C3"/>
    <w:rsid w:val="0065403F"/>
    <w:rsid w:val="0065428C"/>
    <w:rsid w:val="0065476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2003"/>
    <w:rsid w:val="0073332B"/>
    <w:rsid w:val="0074262B"/>
    <w:rsid w:val="00762B5E"/>
    <w:rsid w:val="007651A6"/>
    <w:rsid w:val="00766549"/>
    <w:rsid w:val="007828CF"/>
    <w:rsid w:val="00783F35"/>
    <w:rsid w:val="00784EA9"/>
    <w:rsid w:val="007929E7"/>
    <w:rsid w:val="007A1C43"/>
    <w:rsid w:val="007B15FB"/>
    <w:rsid w:val="007B2A7B"/>
    <w:rsid w:val="007B4022"/>
    <w:rsid w:val="007B6F44"/>
    <w:rsid w:val="007C6006"/>
    <w:rsid w:val="007C64FD"/>
    <w:rsid w:val="007D293C"/>
    <w:rsid w:val="007D2D1A"/>
    <w:rsid w:val="007D2DAC"/>
    <w:rsid w:val="007D5E03"/>
    <w:rsid w:val="007E0C47"/>
    <w:rsid w:val="007E1729"/>
    <w:rsid w:val="007E5857"/>
    <w:rsid w:val="007F7D80"/>
    <w:rsid w:val="00802261"/>
    <w:rsid w:val="00806D17"/>
    <w:rsid w:val="00814A6F"/>
    <w:rsid w:val="008258A8"/>
    <w:rsid w:val="00832F0C"/>
    <w:rsid w:val="00833F1E"/>
    <w:rsid w:val="00835937"/>
    <w:rsid w:val="00840BC4"/>
    <w:rsid w:val="00841316"/>
    <w:rsid w:val="00862BFE"/>
    <w:rsid w:val="0086590C"/>
    <w:rsid w:val="00872E89"/>
    <w:rsid w:val="008819ED"/>
    <w:rsid w:val="008859F0"/>
    <w:rsid w:val="008959C9"/>
    <w:rsid w:val="00895AF7"/>
    <w:rsid w:val="00895BA5"/>
    <w:rsid w:val="008967BC"/>
    <w:rsid w:val="008B3B11"/>
    <w:rsid w:val="008B4FD0"/>
    <w:rsid w:val="008B5306"/>
    <w:rsid w:val="008C707F"/>
    <w:rsid w:val="008D31C8"/>
    <w:rsid w:val="008F3D32"/>
    <w:rsid w:val="00901435"/>
    <w:rsid w:val="00901C20"/>
    <w:rsid w:val="009052C8"/>
    <w:rsid w:val="00920934"/>
    <w:rsid w:val="00925B51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2314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40E0A"/>
    <w:rsid w:val="00B42167"/>
    <w:rsid w:val="00B43938"/>
    <w:rsid w:val="00B776F8"/>
    <w:rsid w:val="00B83AC0"/>
    <w:rsid w:val="00B84AD9"/>
    <w:rsid w:val="00B908F2"/>
    <w:rsid w:val="00B9100E"/>
    <w:rsid w:val="00B92040"/>
    <w:rsid w:val="00B92CBA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0899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E52C6"/>
    <w:rsid w:val="00CF6469"/>
    <w:rsid w:val="00D04657"/>
    <w:rsid w:val="00D2452B"/>
    <w:rsid w:val="00D30876"/>
    <w:rsid w:val="00D320F3"/>
    <w:rsid w:val="00D35ED1"/>
    <w:rsid w:val="00D557AE"/>
    <w:rsid w:val="00D67A6D"/>
    <w:rsid w:val="00D7449C"/>
    <w:rsid w:val="00D915BD"/>
    <w:rsid w:val="00D94651"/>
    <w:rsid w:val="00D950F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0DCF"/>
    <w:rsid w:val="00DF2A26"/>
    <w:rsid w:val="00DF4240"/>
    <w:rsid w:val="00DF67A9"/>
    <w:rsid w:val="00E013B4"/>
    <w:rsid w:val="00E03553"/>
    <w:rsid w:val="00E05B7D"/>
    <w:rsid w:val="00E1166B"/>
    <w:rsid w:val="00E31556"/>
    <w:rsid w:val="00E3516F"/>
    <w:rsid w:val="00E452A9"/>
    <w:rsid w:val="00E460C1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7A82"/>
    <w:rsid w:val="00F57D0B"/>
    <w:rsid w:val="00F6220E"/>
    <w:rsid w:val="00F666AD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3F58-4EF6-454D-AE66-C4AB4F6F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6</cp:revision>
  <cp:lastPrinted>2020-12-01T06:38:00Z</cp:lastPrinted>
  <dcterms:created xsi:type="dcterms:W3CDTF">2021-06-08T12:18:00Z</dcterms:created>
  <dcterms:modified xsi:type="dcterms:W3CDTF">2021-09-13T11:58:00Z</dcterms:modified>
</cp:coreProperties>
</file>